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0" w:before="10"/>
        <w:jc w:val="left"/>
      </w:pPr>
      <w:r>
        <mc:AlternateContent>
          <mc:Choice Requires="wpg">
            <w:drawing>
              <wp:inline xmlns:wp="http://schemas.openxmlformats.org/drawingml/2006/wordprocessingDrawing" distT="0" distB="0" distL="0" distR="0">
                <wp:extent cx="952500" cy="345109"/>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r/>
                      </pic:nvPicPr>
                      <pic:blipFill>
                        <a:blip r:embed="rId9"/>
                        <a:srcRect/>
                        <a:stretch>
                          <a:fillRect/>
                        </a:stretch>
                      </pic:blipFill>
                      <pic:spPr bwMode="auto">
                        <a:xfrm>
                          <a:off x="0" y="0"/>
                          <a:ext cx="952500" cy="3451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27.17pt;mso-wrap-distance-left:0.00pt;mso-wrap-distance-top:0.00pt;mso-wrap-distance-right:0.00pt;mso-wrap-distance-bottom:0.00pt;z-index:1;" stroked="false">
                <v:imagedata r:id="rId9" o:title=""/>
                <o:lock v:ext="edit" rotation="t"/>
              </v:shape>
            </w:pict>
          </mc:Fallback>
        </mc:AlternateContent>
      </w:r>
    </w:p>
    <w:p>
      <w:pPr>
        <w:spacing w:after="200"/>
        <w:jc w:val="center"/>
      </w:pPr>
      <w:r>
        <w:rPr>
          <w:b/>
          <w:bCs/>
          <w:sz w:val="32"/>
          <w:szCs w:val="32"/>
        </w:rPr>
        <w:t xml:space="preserve">Întreruperi programate</w:t>
      </w:r>
    </w:p>
    <w:p>
      <w:pPr>
        <w:spacing w:after="400"/>
        <w:jc w:val="center"/>
      </w:pPr>
      <w:r>
        <w:rPr>
          <w:b/>
          <w:bCs/>
          <w:sz w:val="32"/>
          <w:szCs w:val="32"/>
        </w:rPr>
        <w:t xml:space="preserve">Octombrie 8, 2025 - Octombrie 10,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r:id="rId10" w:history="1">
        <w:r>
          <w:rPr>
            <w:rStyle w:val="Hyperlink"/>
            <w:sz w:val="20"/>
            <w:szCs w:val="20"/>
          </w:rPr>
          <w:t xml:space="preserve">www.reteleelectrice.ro</w:t>
        </w:r>
      </w:hyperlink>
      <w:r>
        <w:rPr>
          <w:sz w:val="20"/>
          <w:szCs w:val="20"/>
        </w:rPr>
        <w:t xml:space="preserve"> și poate fi consultată în secțiunea </w:t>
      </w:r>
      <w:hyperlink r:id="rId11" w:history="1">
        <w:r>
          <w:rPr>
            <w:rStyle w:val="Hyperlink"/>
            <w:sz w:val="20"/>
            <w:szCs w:val="20"/>
          </w:rPr>
          <w:t xml:space="preserve">Întreruperi programate</w:t>
        </w:r>
      </w:hyperlink>
      <w:r>
        <w:rPr>
          <w:sz w:val="20"/>
          <w:szCs w:val="20"/>
        </w:rPr>
        <w:t xml:space="preserve">.</w:t>
      </w:r>
    </w:p>
    <w:p>
      <w:pPr>
        <w:spacing w:after="100" w:before="200"/>
      </w:pPr>
      <w:r>
        <w:rPr>
          <w:b/>
          <w:bCs/>
          <w:sz w:val="24"/>
          <w:szCs w:val="24"/>
        </w:rPr>
        <w:t xml:space="preserve">Județul Constanța</w:t>
      </w:r>
    </w:p>
    <w:tbl>
      <w:tblPr>
        <w:tblW w:w="5000" w:type="pct"/>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w="1000" w:type="pct"/>
            <w:shd w:fill="d0e4f5"/>
          </w:tcPr>
          <w:p>
            <w:pPr>
              <w:spacing w:after="100" w:before="100"/>
              <w:jc w:val="center"/>
            </w:pPr>
            <w:r>
              <w:rPr>
                <w:b/>
                <w:bCs/>
                <w:sz w:val="20"/>
                <w:szCs w:val="20"/>
              </w:rPr>
              <w:t xml:space="preserve">Ziua / Data</w:t>
            </w:r>
          </w:p>
        </w:tc>
        <w:tc>
          <w:tcPr>
            <w:tcW w:w="1000" w:type="pct"/>
            <w:shd w:fill="d0e4f5"/>
          </w:tcPr>
          <w:p>
            <w:pPr>
              <w:spacing w:after="100" w:before="100"/>
              <w:jc w:val="center"/>
            </w:pPr>
            <w:r>
              <w:rPr>
                <w:b/>
                <w:bCs/>
                <w:sz w:val="20"/>
                <w:szCs w:val="20"/>
              </w:rPr>
              <w:t xml:space="preserve">Orar</w:t>
            </w:r>
          </w:p>
        </w:tc>
        <w:tc>
          <w:tcPr>
            <w:tcW w:w="1000" w:type="pct"/>
            <w:shd w:fill="d0e4f5"/>
          </w:tcPr>
          <w:p>
            <w:pPr>
              <w:spacing w:after="100" w:before="100"/>
              <w:jc w:val="center"/>
            </w:pPr>
            <w:r>
              <w:rPr>
                <w:b/>
                <w:bCs/>
                <w:sz w:val="20"/>
                <w:szCs w:val="20"/>
              </w:rPr>
              <w:t xml:space="preserve">Localitatea</w:t>
            </w:r>
          </w:p>
        </w:tc>
        <w:tc>
          <w:tcPr>
            <w:tcW w:w="2000" w:type="pct"/>
            <w:shd w:fill="d0e4f5"/>
          </w:tcPr>
          <w:p>
            <w:pPr>
              <w:spacing w:after="100" w:before="100"/>
              <w:jc w:val="center"/>
            </w:pPr>
            <w:r>
              <w:rPr>
                <w:b/>
                <w:bCs/>
                <w:sz w:val="20"/>
                <w:szCs w:val="20"/>
              </w:rPr>
              <w:t xml:space="preserve">Strada</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NOTA: Intreruperi de scurta durata in intervalul mentionat.</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cartier Faleza Nord,  Caminul Persoane Varstnice si Direcția Generală de Asistență Socială Constanța (DGAS)–str. Unirii nr. 104, Centrul Educational FasTracKids Constanța–str. Maior Sofran nr. 2, blocurile:  G6–str. Unirii nr. 61, G8 – str. Unirii nr. 63, L3–b-dul Mamaia nr. 268, vile si blocuri situate pe strada Maior Sofran, respectiv Intrarea Maior Sofran:  bloc SC Collage Prod srl, bloc P.F. Cividino, bloc P.F. Panait Cristian, bloc C1-Intrarea Maior Sofran nr. 3, | Alte detalii: blocuri - Intrarea Maior Sofran nr. 4-5 si SC Disan Expert srl - Intrarea Maior Sofran nr. 6., , Agenti economici: Constanta,  cartier Tomis Nord,  cu  blocurile: TL2, TL3, TL4, TM2, TM3, TM4 (clienti casnici si societati comerciale situate la parter blocuri) - strada Tulcei nr. 8-10-12-14-18A, sediul ANAF (Impozite si Taxe persoane fizice) - strada Tulcei, restaurant  Polar Buffet-str. Tulcei nr. 20,  vile-aleea Lotca, vile-aleea Licurici si biserica ortodoxa de rit vechi Sf. Ilie – str. Tulcei nr. 18., , Alte detalii: zona Hotel Rex,  cu Complex apartamente CAELIA Residence Mamaia - intrerupere totala.</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Ostrov</w:t>
            </w:r>
          </w:p>
        </w:tc>
        <w:tc>
          <w:tcPr>
            <w:tcW w:w="2000" w:type="pct"/>
          </w:tcPr>
          <w:p>
            <w:pPr>
              <w:spacing w:after="100" w:before="100"/>
            </w:pPr>
            <w:r>
              <w:rPr>
                <w:sz w:val="20"/>
                <w:szCs w:val="20"/>
              </w:rPr>
              <w:t xml:space="preserve">Agenti economici: inclusiv zona Regie cu PTA Orange, SPA Ostrov, crama veche, crama noua, fermele 4 şi 3; Vama Ostrov, castel apa, atelier mecanic, birouri Ostrovit, respectiv localitatea Almalau.</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M2; M9; M15; M16; M17; M19; M20 si T14.</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09:00 - 12:00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liceul tehnologic Ion Banescu; strada Negru Vodã, cu Camin Daewoo; camin CMZ; strada Portului cu Ateliere Pod, cantina Pod şi baza sportiva Pescaruş.</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Stupina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Campus, hotel Mava (Trace Trans Corporation), restaurant DasKino – str. Perlei nr. 2, bloc Dymy Building srl – str. Perlei nr. 1, Complex de apartamente KuuB Apartments - b-dul Aurel Vlaicu nr. 307, bloc de apartamente PEHA Residence - b-dul Aurel Vlaicu nr. 305, bloc de apartamente (New Love Construct) - b-dul Aurel Vlaicu nr. 305E, bloc de apartamente (Zerozzi srl) - strada Topazului nr 8A.</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NOTA: Intreruperi de scurta durata in intervalul mentionat.</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08:00 - 10:00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Constanta,  Centrul de Imagistică Regina Maria - Pozimed si Armonia Hospital (ISIS Medical Center) – str. Mircea cel Batran nr. 102 - intrerupere totala.</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strada Farului, aleea Voinicului, b-dul Tomis nr. 220 - 238, blocurile:  TD6, TD7, TD8, TD9, TD10, TD11, TD12, TD13, TD14, TD15, TD16, TD17,  str. Mircea cel Batran, blocurile:  MS3A, MS3B, MD14  (clienti casnici, cabinete medicale, farmacii si societati com. situate la parter locuri),  Minifarm Ion Ratiu, Mega Image Shop&amp;Go, Clinica Core Medical, Clinica Medicala CardioOrto Clinic-bloc MD14, parter, cabinet notar Alexandrescu Ciprian-bloc MD14,parter, rest Indian Ganesha–b-dul Tomis 2348 | Alte detalii: CEC Bank-Agentia Dacia, Punct Termoficare nr.103),Biserica Adormirea Maicii Domnului–b-dul Tomis nr.230 si semafor Dacia(b-dul Tomis/ b-dul Lapusneanu</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Izvoarele</w:t>
            </w:r>
          </w:p>
        </w:tc>
        <w:tc>
          <w:tcPr>
            <w:tcW w:w="2000" w:type="pct"/>
          </w:tcPr>
          <w:p>
            <w:pPr>
              <w:spacing w:after="100" w:before="100"/>
            </w:pPr>
            <w:r>
              <w:rPr>
                <w:sz w:val="20"/>
                <w:szCs w:val="20"/>
              </w:rPr>
              <w:t xml:space="preserve">Agenti economici: Izvoarele şi Strunga, cu pepiniera ferma piscicolã Oltina.</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Albești</w:t>
            </w:r>
          </w:p>
        </w:tc>
        <w:tc>
          <w:tcPr>
            <w:tcW w:w="2000" w:type="pct"/>
          </w:tcPr>
          <w:p>
            <w:pPr>
              <w:spacing w:after="100" w:before="100"/>
            </w:pPr>
            <w:r>
              <w:rPr>
                <w:sz w:val="20"/>
                <w:szCs w:val="20"/>
              </w:rPr>
              <w:t xml:space="preserve">Agenti economici: cu PTA 3 - sursa apa Albesti PTA 6009.</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Coroana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Coslugea</w:t>
            </w:r>
          </w:p>
        </w:tc>
        <w:tc>
          <w:tcPr>
            <w:tcW w:w="2000" w:type="pct"/>
          </w:tcPr>
          <w:p>
            <w:pPr>
              <w:spacing w:after="100" w:before="100"/>
            </w:pPr>
            <w:r>
              <w:rPr>
                <w:sz w:val="20"/>
                <w:szCs w:val="20"/>
              </w:rPr>
              <w:t xml:space="preserve">Alte detalii: Coşlugea si loc Satu Nou - douã întreruperi de scurtã duratã în intervalul menţionat.	09:00-17:00</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NOTA: Intreruperi de scurta durata in intervalul mentionat.</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Constanta, zona Casa de Cultura, aleea Daliei, blocurile: L127,  L128, L128A, L128b, L129, L130, L131;  aleea Nalbei, blocurile:  L108, L109, L110, L116, L117 si Parc Tara Piticilor; b-dul 1 Decembrie 1918, blocurile:  L54, L56, L62, L89, L103, L66, L69, L78B (clienti casnici, cabinete medicale, farmacii si societati comerciale situate la parter blocuri) si Scoala Gimnaziala nr. 24 - Ion Jalea.</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Ostrov</w:t>
            </w:r>
          </w:p>
        </w:tc>
        <w:tc>
          <w:tcPr>
            <w:tcW w:w="2000" w:type="pct"/>
          </w:tcPr>
          <w:p>
            <w:pPr>
              <w:spacing w:after="100" w:before="100"/>
            </w:pPr>
            <w:r>
              <w:rPr>
                <w:sz w:val="20"/>
                <w:szCs w:val="20"/>
              </w:rPr>
              <w:t xml:space="preserve">Agenti economici: inclusiv zona Regie cu PTA Orange, SPA Ostrov, crama veche, crama noua, fermele 4 şi 3; Vama Ostrov, castel apa, atelier mecanic, birouri Ostrovit, respectiv localitatea Almalau.</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strazile: Gradinilor; Muzicii; Viilor; Nucilor; Salciei; Frunzelor; Campului; D7; D9 si D10</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Tortoman</w:t>
            </w:r>
          </w:p>
        </w:tc>
        <w:tc>
          <w:tcPr>
            <w:tcW w:w="2000" w:type="pct"/>
          </w:tcPr>
          <w:p>
            <w:pPr>
              <w:spacing w:after="100" w:before="100"/>
            </w:pPr>
            <w:r>
              <w:rPr>
                <w:sz w:val="20"/>
                <w:szCs w:val="20"/>
              </w:rPr>
              <w:t xml:space="preserve">Agenti economici: cu ferma Stanga Tortoman - intrerupere de scurta durata.</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09:00 - 12:00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restaurant Clabucet, blocurile: C9 si C10, hotel Proton, restaurant Mediteraneo, complex galerii Neptun, spatii comerciale şi sediu poşta din Neptun.</w:t>
            </w:r>
          </w:p>
        </w:tc>
      </w:tr>
    </w:tbl>
    <w:p>
      <w:pPr>
        <w:spacing w:after="200"/>
      </w:pPr>
      <w:r>
        <w:rPr>
          <w:sz w:val="20"/>
          <w:szCs w:val="20"/>
        </w:rPr>
      </w:r>
    </w:p>
    <w:sectPr>
      <w:footerReference w:type="default" r:id="rId8"/>
      <w:pgSz w:h="16838" w:orient="portrait" w:w="11906"/>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lvlJc w:val="left"/>
      <w:lvlText w:val="●"/>
      <w:numFmt w:val="bullet"/>
      <w:pPr>
        <w:ind w:hanging="360" w:left="720"/>
      </w:pPr>
      <w:start w:val="1"/>
    </w:lvl>
    <w:lvl w:ilvl="1">
      <w:lvlJc w:val="left"/>
      <w:lvlText w:val="○"/>
      <w:numFmt w:val="bullet"/>
      <w:pPr>
        <w:ind w:hanging="360" w:left="1440"/>
      </w:pPr>
      <w:start w:val="1"/>
    </w:lvl>
    <w:lvl w:ilvl="2">
      <w:lvlJc w:val="left"/>
      <w:lvlText w:val="■"/>
      <w:numFmt w:val="bullet"/>
      <w:pPr>
        <w:ind w:hanging="360" w:left="2160"/>
      </w:pPr>
      <w:start w:val="1"/>
    </w:lvl>
    <w:lvl w:ilvl="3">
      <w:lvlJc w:val="left"/>
      <w:lvlText w:val="●"/>
      <w:numFmt w:val="bullet"/>
      <w:pPr>
        <w:ind w:hanging="360" w:left="2880"/>
      </w:pPr>
      <w:start w:val="1"/>
    </w:lvl>
    <w:lvl w:ilvl="4">
      <w:lvlJc w:val="left"/>
      <w:lvlText w:val="○"/>
      <w:numFmt w:val="bullet"/>
      <w:pPr>
        <w:ind w:hanging="360" w:left="3600"/>
      </w:pPr>
      <w:start w:val="1"/>
    </w:lvl>
    <w:lvl w:ilvl="5">
      <w:lvlJc w:val="left"/>
      <w:lvlText w:val="■"/>
      <w:numFmt w:val="bullet"/>
      <w:pPr>
        <w:ind w:hanging="360" w:left="4320"/>
      </w:pPr>
      <w:start w:val="1"/>
    </w:lvl>
    <w:lvl w:ilvl="6">
      <w:lvlJc w:val="left"/>
      <w:lvlText w:val="●"/>
      <w:numFmt w:val="bullet"/>
      <w:pPr>
        <w:ind w:hanging="360" w:left="5040"/>
      </w:pPr>
      <w:start w:val="1"/>
    </w:lvl>
    <w:lvl w:ilvl="7">
      <w:lvlJc w:val="left"/>
      <w:lvlText w:val="●"/>
      <w:numFmt w:val="bullet"/>
      <w:pPr>
        <w:ind w:hanging="360" w:left="5760"/>
      </w:pPr>
      <w:start w:val="1"/>
    </w:lvl>
    <w:lvl w:ilvl="8">
      <w:lvlJc w:val="left"/>
      <w:lvlText w:val="●"/>
      <w:numFmt w:val="bullet"/>
      <w:pPr>
        <w:ind w:hanging="360" w:left="6480"/>
      </w:pPr>
      <w:start w:val="1"/>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 Id="rId10" Type="http://schemas.openxmlformats.org/officeDocument/2006/relationships/hyperlink" Target="https://www.reteleelectrice.ro" TargetMode="External"/><Relationship Id="rId11" Type="http://schemas.openxmlformats.org/officeDocument/2006/relationships/hyperlink" Target="https://www.reteleelectrice.ro/intreruperi/programate/" TargetMode="Externa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ONLYOFFICE/9.0.3.29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2025-10-07T13:55:19.468Z</dcterms:created>
  <dcterms:modified xsi:type="dcterms:W3CDTF">2025-10-07T13:55:19.468Z</dcterms:modified>
</cp:coreProperties>
</file>

<file path=docProps/custom.xml><?xml version="1.0" encoding="utf-8"?>
<Properties xmlns="http://schemas.openxmlformats.org/officeDocument/2006/custom-properties" xmlns:vt="http://schemas.openxmlformats.org/officeDocument/2006/docPropsVTypes"/>
</file>